
<file path=[Content_Types].xml><?xml version="1.0" encoding="utf-8"?>
<Types xmlns="http://schemas.openxmlformats.org/package/2006/content-types">
  <Default ContentType="application/vnd.openxmlformats-officedocument.spreadsheetml.sheet" Extension="xlsx"/>
  <Default ContentType="application/xml" Extension="xml"/>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ageBreakBefore w:val="0"/>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Joint Schedule 12 (Supply Chain Visibility)</w:t>
      </w:r>
    </w:p>
    <w:p w:rsidR="00000000" w:rsidDel="00000000" w:rsidP="00000000" w:rsidRDefault="00000000" w:rsidRPr="00000000" w14:paraId="0000000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4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198.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"Contracts Finder"</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Government’s publishing portal for public sector procurement opportunities; </w:t>
            </w:r>
          </w:p>
        </w:tc>
      </w:tr>
      <w:tr>
        <w:trPr>
          <w:cantSplit w:val="0"/>
          <w:trHeight w:val="20" w:hRule="atLeast"/>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"SME"</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enterprise falling within the category of micro, small and medium sized enterprises defined by the Commission Recommendation of 6 May 2003 concerning the definition of micro, small and medium sized enterprises; </w:t>
            </w:r>
          </w:p>
        </w:tc>
      </w:tr>
      <w:tr>
        <w:trPr>
          <w:cantSplit w:val="0"/>
          <w:trHeight w:val="20" w:hRule="atLeast"/>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“Supply Chain Information Report Template”</w:t>
            </w:r>
          </w:p>
        </w:tc>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at Annex 1 of this Schedule 12; and</w:t>
            </w:r>
          </w:p>
        </w:tc>
      </w:tr>
      <w:tr>
        <w:trPr>
          <w:cantSplit w:val="0"/>
          <w:trHeight w:val="20" w:hRule="atLeast"/>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"VCSE"</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non-governmental organisation that is value-driven and which principally reinvests its surpluses to further social, environmental or cultural objectives.</w:t>
            </w:r>
          </w:p>
        </w:tc>
      </w:tr>
      <w:tr>
        <w:trPr>
          <w:cantSplit w:val="0"/>
          <w:trHeight w:val="20" w:hRule="atLeast"/>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leader="none" w:pos="709"/>
                <w:tab w:val="left" w:leader="none" w:pos="11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Sub-Contract Opportunities in the Supply Chain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2.3, advertise on Contracts Finder all Sub-Contract opportunities arising from or in connection with the provision of the Deliverables above a minimum threshold of £25,000 that arise during the Contract Period;</w:t>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90 days of awarding a Sub-Contract to a Subcontractor, update the notice on Contract Finder with details of the successful Subcontractor; </w:t>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the number, type and value of the Sub-Contract opportunities placed on Contracts Finder advertised and awarded in its supply chain during the Contract Period; </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reports on the information at Paragraph 2.1.3 to the Relevant Authority in the format and frequency as reasonably specified by the Relevant Authority; and </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promote Contracts Finder to its suppliers and encourage those organisations to register on Contracts Finder.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advert referred to at Paragraph 2.1.1 of this Schedule 12 shall provide a full and detailed description of the Sub-Contract opportunity with each of the mandatory fields being completed on Contracts Finder by the Supplier.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on the Supplier set out at Paragraph 2.1 shall only apply in respect of Sub-Contract opportunities arising after the Effective Date.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Paragraph 2.1, the Authority may by giving its prior Approval, agree that a Sub-Contract opportunity is not required to be advertised by the Supplier on Contracts Finder.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Visibility of Supply Chain Spend</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any other management information requirements set out in the Contract, the Supplier agrees and acknowledges that it shall, at no charge, provide timely, full, accurate and complete SME management information reports (the “SME Management Information Reports”) to the Relevant Authority which incorporates the data described in the Supply Chain Information Report Template which is: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contract revenue received directly on the Contract;</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under the Contract (including revenues for non-SMEs/non-VCSEs); and</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value of sub-contracted revenues to SMEs and VCSEs.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993" w:right="0" w:hanging="63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SME Management Information Reports shall be provided by the Supplier in the correct format as required by the Supply Chain Information Report Template and any guidance issued by the Relevant Authority from time to time. The Supplier agrees that it shall use the Supply Chain Information Report Template to provide the information detailed at Paragraph 3.1(a) –(c) and acknowledges that the template may be changed from time to time (including the data required and/or format) by the Relevant Authority issuing a replacement version. The Relevant Authority agrees to give at least thirty (30) days’ notice in writing of any such change and shall specify the date from which it must be used.</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0" w:line="276" w:lineRule="auto"/>
        <w:ind w:left="99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further agrees and acknowledges that it may not make any amendment to the Supply Chain Information Report Template without the prior Approval of the Authority.  </w:t>
      </w:r>
    </w:p>
    <w:p w:rsidR="00000000" w:rsidDel="00000000" w:rsidP="00000000" w:rsidRDefault="00000000" w:rsidRPr="00000000" w14:paraId="0000002C">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pageBreakBefore w:val="0"/>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2E">
      <w:pPr>
        <w:pageBreakBefore w:val="0"/>
        <w:ind w:left="36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Supply Chain Information Report template</w:t>
      </w:r>
    </w:p>
    <w:p w:rsidR="00000000" w:rsidDel="00000000" w:rsidP="00000000" w:rsidRDefault="00000000" w:rsidRPr="00000000" w14:paraId="0000002F">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rFonts w:ascii="Arial" w:cs="Arial" w:eastAsia="Arial" w:hAnsi="Arial"/>
          <w:sz w:val="24"/>
          <w:szCs w:val="24"/>
        </w:rPr>
      </w:pPr>
      <w:r w:rsidDel="00000000" w:rsidR="00000000" w:rsidRPr="00000000">
        <w:rPr>
          <w:rFonts w:ascii="Arial" w:cs="Arial" w:eastAsia="Arial" w:hAnsi="Arial"/>
          <w:sz w:val="24"/>
          <w:szCs w:val="24"/>
        </w:rPr>
        <w:pict>
          <v:shape id="_x0000_i1025" style="width:116.4pt;height:56.4pt" o:ole="" type="#_x0000_t75">
            <v:imagedata r:id="rId1" o:title=""/>
          </v:shape>
          <o:OLEObject DrawAspect="Icon" r:id="rId2" ObjectID="_1616445289" ProgID="Excel.Sheet.12" ShapeID="_x0000_i1025" Type="Embed"/>
        </w:pict>
      </w:r>
      <w:r w:rsidDel="00000000" w:rsidR="00000000" w:rsidRPr="00000000">
        <w:rPr>
          <w:rtl w:val="0"/>
        </w:rPr>
      </w:r>
    </w:p>
    <w:p w:rsidR="00000000" w:rsidDel="00000000" w:rsidP="00000000" w:rsidRDefault="00000000" w:rsidRPr="00000000" w14:paraId="00000032">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pageBreakBefore w:val="0"/>
        <w:rPr>
          <w:rFonts w:ascii="Arial" w:cs="Arial" w:eastAsia="Arial" w:hAnsi="Arial"/>
          <w:sz w:val="24"/>
          <w:szCs w:val="24"/>
        </w:rPr>
      </w:pPr>
      <w:r w:rsidDel="00000000" w:rsidR="00000000" w:rsidRPr="00000000">
        <w:rPr>
          <w:rtl w:val="0"/>
        </w:rPr>
      </w:r>
    </w:p>
    <w:sectPr>
      <w:headerReference r:id="rId9" w:type="default"/>
      <w:foot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DPS Ref: RM6296 Occupationa</w:t>
    </w:r>
    <w:r w:rsidDel="00000000" w:rsidR="00000000" w:rsidRPr="00000000">
      <w:rPr>
        <w:rFonts w:ascii="Arial" w:cs="Arial" w:eastAsia="Arial" w:hAnsi="Arial"/>
        <w:rtl w:val="0"/>
      </w:rPr>
      <w:t xml:space="preserve">l Health and Related Services</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 Version: 1.0</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Model Version 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Joint Schedule 12 (Supply Chain Visibility)</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Crown Copyright </w:t>
    </w:r>
    <w:r w:rsidDel="00000000" w:rsidR="00000000" w:rsidRPr="00000000">
      <w:rPr>
        <w:rFonts w:ascii="Arial" w:cs="Arial" w:eastAsia="Arial" w:hAnsi="Arial"/>
        <w:rtl w:val="0"/>
      </w:rPr>
      <w:t xml:space="preserve">2023</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1800" w:hanging="1440"/>
      </w:pPr>
      <w:rPr/>
    </w:lvl>
    <w:lvl w:ilvl="7">
      <w:start w:val="1"/>
      <w:numFmt w:val="decimal"/>
      <w:lvlText w:val="%1.%2.%3.%4.%5.%6.%7.%8"/>
      <w:lvlJc w:val="left"/>
      <w:pPr>
        <w:ind w:left="2160" w:hanging="180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305DC"/>
    <w:pPr>
      <w:ind w:left="720"/>
      <w:contextualSpacing w:val="1"/>
    </w:pPr>
  </w:style>
  <w:style w:type="paragraph" w:styleId="Sectionheading" w:customStyle="1">
    <w:name w:val="Section heading"/>
    <w:basedOn w:val="Normal"/>
    <w:rsid w:val="001B27C3"/>
    <w:pPr>
      <w:suppressAutoHyphens w:val="1"/>
      <w:spacing w:after="0" w:line="360" w:lineRule="auto"/>
      <w:jc w:val="both"/>
    </w:pPr>
    <w:rPr>
      <w:rFonts w:ascii="Times New Roman" w:cs="Times New Roman" w:eastAsia="Times New Roman" w:hAnsi="Times New Roman"/>
      <w:b w:val="1"/>
      <w:bCs w:val="1"/>
      <w:sz w:val="24"/>
      <w:szCs w:val="24"/>
      <w:u w:val="single"/>
    </w:rPr>
  </w:style>
  <w:style w:type="paragraph" w:styleId="Header">
    <w:name w:val="header"/>
    <w:basedOn w:val="Normal"/>
    <w:link w:val="HeaderChar"/>
    <w:uiPriority w:val="99"/>
    <w:unhideWhenUsed w:val="1"/>
    <w:rsid w:val="009D7CF0"/>
    <w:pPr>
      <w:tabs>
        <w:tab w:val="center" w:pos="4513"/>
        <w:tab w:val="right" w:pos="9026"/>
      </w:tabs>
      <w:spacing w:after="0" w:line="240" w:lineRule="auto"/>
    </w:pPr>
  </w:style>
  <w:style w:type="character" w:styleId="HeaderChar" w:customStyle="1">
    <w:name w:val="Header Char"/>
    <w:basedOn w:val="DefaultParagraphFont"/>
    <w:link w:val="Header"/>
    <w:uiPriority w:val="99"/>
    <w:rsid w:val="009D7CF0"/>
  </w:style>
  <w:style w:type="paragraph" w:styleId="Footer">
    <w:name w:val="footer"/>
    <w:basedOn w:val="Normal"/>
    <w:link w:val="FooterChar"/>
    <w:uiPriority w:val="99"/>
    <w:unhideWhenUsed w:val="1"/>
    <w:rsid w:val="009D7CF0"/>
    <w:pPr>
      <w:tabs>
        <w:tab w:val="center" w:pos="4513"/>
        <w:tab w:val="right" w:pos="9026"/>
      </w:tabs>
      <w:spacing w:after="0" w:line="240" w:lineRule="auto"/>
    </w:pPr>
  </w:style>
  <w:style w:type="character" w:styleId="FooterChar" w:customStyle="1">
    <w:name w:val="Footer Char"/>
    <w:basedOn w:val="DefaultParagraphFont"/>
    <w:link w:val="Footer"/>
    <w:uiPriority w:val="99"/>
    <w:rsid w:val="009D7CF0"/>
  </w:style>
  <w:style w:type="paragraph" w:styleId="GPSL2Numbered" w:customStyle="1">
    <w:name w:val="GPS L2 Numbered"/>
    <w:basedOn w:val="Normal"/>
    <w:link w:val="GPSL2NumberedChar"/>
    <w:qFormat w:val="1"/>
    <w:rsid w:val="0042661A"/>
    <w:pPr>
      <w:tabs>
        <w:tab w:val="left" w:pos="709"/>
        <w:tab w:val="left" w:pos="1134"/>
      </w:tabs>
      <w:adjustRightInd w:val="0"/>
      <w:spacing w:after="120" w:before="120" w:line="240" w:lineRule="auto"/>
      <w:ind w:hanging="360"/>
      <w:jc w:val="both"/>
    </w:pPr>
    <w:rPr>
      <w:rFonts w:ascii="Calibri" w:cs="Arial" w:eastAsia="Times New Roman" w:hAnsi="Calibri"/>
      <w:lang w:eastAsia="zh-CN"/>
    </w:rPr>
  </w:style>
  <w:style w:type="character" w:styleId="GPSL2NumberedChar" w:customStyle="1">
    <w:name w:val="GPS L2 Numbered Char"/>
    <w:link w:val="GPSL2Numbered"/>
    <w:locked w:val="1"/>
    <w:rsid w:val="0042661A"/>
    <w:rPr>
      <w:rFonts w:ascii="Calibri" w:cs="Arial" w:eastAsia="Times New Roman" w:hAnsi="Calibri"/>
      <w:lang w:eastAsia="zh-CN"/>
    </w:rPr>
  </w:style>
  <w:style w:type="table" w:styleId="TableGrid">
    <w:name w:val="Table Grid"/>
    <w:basedOn w:val="TableNormal"/>
    <w:uiPriority w:val="59"/>
    <w:rsid w:val="0042661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package" Target="embeddings/Microsoft_Excel_Sheet1.xlsx"/><Relationship Id="rId3" Type="http://schemas.openxmlformats.org/officeDocument/2006/relationships/theme" Target="theme/theme1.xml"/><Relationship Id="rId4" Type="http://schemas.openxmlformats.org/officeDocument/2006/relationships/settings" Target="setting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bFbYsgrksL0jy0jp3XjZ9ybkfA==">CgMxLjAyCGguZ2pkZ3hzOAByITFNMHlCQ09UN3UtQmxZc2g5bnR1VVRNbGI4bDBTTE9QOA==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2019-04-10T22:48:00Z</dcterms:created>
  <dc:creator>Nana Bowen</dc:creator>
</cp:coreProperties>
</file>